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242A">
      <w:pPr>
        <w:pStyle w:val="11"/>
        <w:jc w:val="center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ПРОТОКОЛ ИТОГОВ</w:t>
      </w:r>
    </w:p>
    <w:p w14:paraId="1D24D8BC">
      <w:pPr>
        <w:pStyle w:val="11"/>
        <w:jc w:val="center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 xml:space="preserve">закупа </w:t>
      </w:r>
      <w:r>
        <w:rPr>
          <w:rStyle w:val="18"/>
          <w:sz w:val="24"/>
          <w:szCs w:val="24"/>
          <w:lang w:val="kk-KZ"/>
        </w:rPr>
        <w:t>лекарственных средств</w:t>
      </w:r>
      <w:r>
        <w:rPr>
          <w:rStyle w:val="18"/>
          <w:sz w:val="24"/>
          <w:szCs w:val="24"/>
        </w:rPr>
        <w:t xml:space="preserve"> способом </w:t>
      </w:r>
      <w:r>
        <w:rPr>
          <w:rStyle w:val="18"/>
          <w:sz w:val="24"/>
          <w:szCs w:val="24"/>
          <w:lang w:val="kk-KZ"/>
        </w:rPr>
        <w:t>тендера</w:t>
      </w:r>
      <w:r>
        <w:rPr>
          <w:rStyle w:val="18"/>
          <w:sz w:val="24"/>
          <w:szCs w:val="24"/>
        </w:rPr>
        <w:t xml:space="preserve"> №2 </w:t>
      </w:r>
    </w:p>
    <w:p w14:paraId="0D7E8504">
      <w:pPr>
        <w:pStyle w:val="11"/>
        <w:jc w:val="both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 xml:space="preserve">г. </w:t>
      </w:r>
      <w:r>
        <w:rPr>
          <w:rStyle w:val="18"/>
          <w:rFonts w:ascii="Times New Roman"/>
          <w:sz w:val="24"/>
          <w:szCs w:val="24"/>
          <w:lang w:val="ru-RU"/>
        </w:rPr>
        <w:t>Семей</w:t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ab/>
      </w:r>
      <w:r>
        <w:rPr>
          <w:rStyle w:val="18"/>
          <w:sz w:val="24"/>
          <w:szCs w:val="24"/>
        </w:rPr>
        <w:t xml:space="preserve">                             «0</w:t>
      </w:r>
      <w:r>
        <w:rPr>
          <w:rStyle w:val="18"/>
          <w:rFonts w:hint="default" w:ascii="Times New Roman"/>
          <w:sz w:val="24"/>
          <w:szCs w:val="24"/>
          <w:lang w:val="ru-RU"/>
        </w:rPr>
        <w:t>4</w:t>
      </w:r>
      <w:r>
        <w:rPr>
          <w:rStyle w:val="18"/>
          <w:sz w:val="24"/>
          <w:szCs w:val="24"/>
        </w:rPr>
        <w:t>» февраля 2025 года</w:t>
      </w:r>
    </w:p>
    <w:p w14:paraId="63D66443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0AFEA5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Тендерная комиссия произвела процедуру вскрытия конвертов с тендерными заявками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января 2025 года в 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:00 часов по адресу: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4"/>
          <w:szCs w:val="24"/>
          <w:lang w:val="kk-KZ" w:eastAsia="ru-RU"/>
        </w:rPr>
        <w:t>г.Семей,пр Шакарима,122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кабинет главного бухгалтера. </w:t>
      </w:r>
    </w:p>
    <w:p w14:paraId="5C2F0ED5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Тендерная документация предоставлена на сайте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"http://www.vision.kz" </w:instrText>
      </w:r>
      <w:r>
        <w:rPr>
          <w:b w:val="0"/>
          <w:bCs w:val="0"/>
        </w:rPr>
        <w:fldChar w:fldCharType="separate"/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vision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kz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 для потенциальных поставщиков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Запросы от потенциальных поставщиков по разъяснению Тендерной документации не поступали. Тендерные заявки после окончательного срока их представления не поступали. </w:t>
      </w:r>
    </w:p>
    <w:p w14:paraId="296FB2B9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Наименования и краткое описание лекарственных средств, медицинских изделий или фармацевтических услуг:</w:t>
      </w:r>
    </w:p>
    <w:p w14:paraId="6816F20C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10"/>
        <w:tblW w:w="10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7"/>
        <w:gridCol w:w="4358"/>
        <w:gridCol w:w="2305"/>
      </w:tblGrid>
      <w:tr w14:paraId="7D85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 w14:paraId="53866FDF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</w:tc>
        <w:tc>
          <w:tcPr>
            <w:tcW w:w="3407" w:type="dxa"/>
          </w:tcPr>
          <w:p w14:paraId="677E99B9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лота</w:t>
            </w:r>
          </w:p>
        </w:tc>
        <w:tc>
          <w:tcPr>
            <w:tcW w:w="4358" w:type="dxa"/>
          </w:tcPr>
          <w:p w14:paraId="7EDC34A1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Техническая спецификация</w:t>
            </w:r>
          </w:p>
        </w:tc>
        <w:tc>
          <w:tcPr>
            <w:tcW w:w="2305" w:type="dxa"/>
          </w:tcPr>
          <w:p w14:paraId="60DC104E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ед. изм.</w:t>
            </w:r>
          </w:p>
        </w:tc>
      </w:tr>
      <w:tr w14:paraId="4F64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 w14:paraId="7E09CBB0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407" w:type="dxa"/>
          </w:tcPr>
          <w:p w14:paraId="58D8110D">
            <w:pPr>
              <w:pStyle w:val="19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Афлиберцепт</w:t>
            </w:r>
          </w:p>
        </w:tc>
        <w:tc>
          <w:tcPr>
            <w:tcW w:w="4358" w:type="dxa"/>
          </w:tcPr>
          <w:p w14:paraId="47A17B39">
            <w:pPr>
              <w:pStyle w:val="19"/>
              <w:ind w:firstLine="0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Раствор для инъекций, 40 мг/мл, 0,278 мл, № 1</w:t>
            </w:r>
          </w:p>
        </w:tc>
        <w:tc>
          <w:tcPr>
            <w:tcW w:w="2305" w:type="dxa"/>
          </w:tcPr>
          <w:p w14:paraId="19011DAA">
            <w:pPr>
              <w:pStyle w:val="19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флакон</w:t>
            </w:r>
          </w:p>
        </w:tc>
      </w:tr>
    </w:tbl>
    <w:p w14:paraId="6E54DCBA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Сумма закупа: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/>
        </w:rPr>
        <w:t>9811431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,20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девятнадцать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миллионов восемьсот одиннадцать тысяч четыреста тридцать одна тенге,20 тиын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</w:p>
    <w:p w14:paraId="716D07D0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9C69D89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Наименования, местонахождение и квалификационные данные потенциальных поставщиков, представивших тендерные заявки;</w:t>
      </w:r>
    </w:p>
    <w:p w14:paraId="52C81BDD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20"/>
        <w:tblW w:w="11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676"/>
        <w:gridCol w:w="3685"/>
        <w:gridCol w:w="3271"/>
      </w:tblGrid>
      <w:tr w14:paraId="18335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35" w:type="dxa"/>
          </w:tcPr>
          <w:p w14:paraId="53233EA1">
            <w:pPr>
              <w:pStyle w:val="11"/>
              <w:widowControl w:val="0"/>
              <w:autoSpaceDE w:val="0"/>
              <w:autoSpaceDN w:val="0"/>
              <w:ind w:left="709" w:hanging="709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</w:tcPr>
          <w:p w14:paraId="0A268FC4">
            <w:pPr>
              <w:pStyle w:val="11"/>
              <w:widowControl w:val="0"/>
              <w:autoSpaceDE w:val="0"/>
              <w:autoSpaceDN w:val="0"/>
              <w:ind w:left="551" w:hanging="551"/>
              <w:jc w:val="center"/>
              <w:rPr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Наименование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  <w:lang w:val="en-US"/>
              </w:rPr>
              <w:t xml:space="preserve"> </w:t>
            </w:r>
          </w:p>
          <w:p w14:paraId="04660D8D">
            <w:pPr>
              <w:pStyle w:val="11"/>
              <w:widowControl w:val="0"/>
              <w:autoSpaceDE w:val="0"/>
              <w:autoSpaceDN w:val="0"/>
              <w:ind w:left="850" w:hanging="56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  <w:lang w:val="en-US"/>
              </w:rPr>
              <w:t>потенциальных</w:t>
            </w:r>
          </w:p>
          <w:p w14:paraId="5A22884D">
            <w:pPr>
              <w:pStyle w:val="11"/>
              <w:widowControl w:val="0"/>
              <w:autoSpaceDE w:val="0"/>
              <w:autoSpaceDN w:val="0"/>
              <w:ind w:left="551" w:hanging="55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поставщиков</w:t>
            </w:r>
          </w:p>
        </w:tc>
        <w:tc>
          <w:tcPr>
            <w:tcW w:w="3685" w:type="dxa"/>
          </w:tcPr>
          <w:p w14:paraId="79D3E702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Адрес местонахождения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  <w:lang w:val="en-US"/>
              </w:rPr>
              <w:t xml:space="preserve"> </w:t>
            </w:r>
          </w:p>
          <w:p w14:paraId="51522D4A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0"/>
                <w:szCs w:val="20"/>
                <w:lang w:val="en-US"/>
              </w:rPr>
              <w:t>потенциальных</w:t>
            </w:r>
            <w:r>
              <w:rPr>
                <w:rFonts w:ascii="Times New Roman" w:hAnsi="Times New Roman" w:cs="Times New Roman"/>
                <w:b w:val="0"/>
                <w:bCs w:val="0"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поставщиков</w:t>
            </w:r>
          </w:p>
        </w:tc>
        <w:tc>
          <w:tcPr>
            <w:tcW w:w="3271" w:type="dxa"/>
          </w:tcPr>
          <w:p w14:paraId="58A04992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Дата и время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тендерных заявок</w:t>
            </w:r>
          </w:p>
        </w:tc>
      </w:tr>
      <w:tr w14:paraId="52540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35" w:type="dxa"/>
          </w:tcPr>
          <w:p w14:paraId="0396305A">
            <w:pPr>
              <w:pStyle w:val="11"/>
              <w:widowControl w:val="0"/>
              <w:autoSpaceDE w:val="0"/>
              <w:autoSpaceDN w:val="0"/>
              <w:ind w:left="709" w:hanging="709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3676" w:type="dxa"/>
          </w:tcPr>
          <w:p w14:paraId="33C993CF">
            <w:pPr>
              <w:pStyle w:val="11"/>
              <w:widowControl w:val="0"/>
              <w:autoSpaceDE w:val="0"/>
              <w:autoSpaceDN w:val="0"/>
              <w:ind w:left="551" w:hanging="55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ТОО «АК НИЕТ»</w:t>
            </w:r>
          </w:p>
        </w:tc>
        <w:tc>
          <w:tcPr>
            <w:tcW w:w="3685" w:type="dxa"/>
          </w:tcPr>
          <w:p w14:paraId="57383EFE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160005, г. Шымкент, район 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ұран, трасса Тремирлановское, дом 30, н.п. 84, ул. Капал батыра, тер. Ондиристик, стр. 116/1</w:t>
            </w:r>
          </w:p>
        </w:tc>
        <w:tc>
          <w:tcPr>
            <w:tcW w:w="3271" w:type="dxa"/>
          </w:tcPr>
          <w:p w14:paraId="23D58B77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24 января 2025 г., время: 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  <w:t>:26</w:t>
            </w:r>
          </w:p>
        </w:tc>
      </w:tr>
      <w:tr w14:paraId="0DA1F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35" w:type="dxa"/>
          </w:tcPr>
          <w:p w14:paraId="64312FEB">
            <w:pPr>
              <w:pStyle w:val="11"/>
              <w:widowControl w:val="0"/>
              <w:autoSpaceDE w:val="0"/>
              <w:autoSpaceDN w:val="0"/>
              <w:ind w:left="709" w:hanging="709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3676" w:type="dxa"/>
          </w:tcPr>
          <w:p w14:paraId="4E083A3D">
            <w:pPr>
              <w:pStyle w:val="11"/>
              <w:widowControl w:val="0"/>
              <w:autoSpaceDE w:val="0"/>
              <w:autoSpaceDN w:val="0"/>
              <w:ind w:left="551" w:hanging="55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ТОО «КФК «МЕДСЕРВИС ПЛЮС»</w:t>
            </w:r>
          </w:p>
          <w:p w14:paraId="2CAF1745">
            <w:pPr>
              <w:pStyle w:val="11"/>
              <w:widowControl w:val="0"/>
              <w:autoSpaceDE w:val="0"/>
              <w:autoSpaceDN w:val="0"/>
              <w:ind w:left="551" w:hanging="55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14:paraId="541C7520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050004, г. Алматы, </w:t>
            </w:r>
          </w:p>
          <w:p w14:paraId="62C63C44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ул. Маметовой, 54 </w:t>
            </w:r>
          </w:p>
        </w:tc>
        <w:tc>
          <w:tcPr>
            <w:tcW w:w="3271" w:type="dxa"/>
          </w:tcPr>
          <w:p w14:paraId="6A02EF44">
            <w:pPr>
              <w:pStyle w:val="21"/>
              <w:spacing w:line="210" w:lineRule="exact"/>
              <w:ind w:left="116" w:right="101"/>
              <w:jc w:val="center"/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2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>9</w:t>
            </w:r>
            <w:r>
              <w:rPr>
                <w:b w:val="0"/>
                <w:bCs w:val="0"/>
                <w:sz w:val="20"/>
                <w:szCs w:val="20"/>
                <w:lang w:val="kk-KZ"/>
              </w:rPr>
              <w:t xml:space="preserve"> января 2025 г., время: 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>14:30</w:t>
            </w:r>
          </w:p>
        </w:tc>
      </w:tr>
    </w:tbl>
    <w:p w14:paraId="2ABEF44F">
      <w:pPr>
        <w:pStyle w:val="11"/>
        <w:jc w:val="both"/>
        <w:rPr>
          <w:rFonts w:ascii="Courier New" w:hAnsi="Courier New" w:cs="Courier New"/>
          <w:b w:val="0"/>
          <w:bCs w:val="0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000000"/>
          <w:spacing w:val="2"/>
          <w:sz w:val="20"/>
          <w:szCs w:val="20"/>
        </w:rPr>
        <w:t>     </w:t>
      </w:r>
    </w:p>
    <w:p w14:paraId="63965E52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Цена и условия каждой тендерной заявки в соответствии с тендерной документацией:</w:t>
      </w:r>
    </w:p>
    <w:p w14:paraId="1F9C7077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51C1B1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Потенциальными поставщиками были предложены следующие цены:</w:t>
      </w:r>
    </w:p>
    <w:p w14:paraId="7D152BC0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10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2551"/>
        <w:gridCol w:w="1985"/>
        <w:gridCol w:w="2126"/>
      </w:tblGrid>
      <w:tr w14:paraId="0B3B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 w14:paraId="1AB37AF1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7280214D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лота</w:t>
            </w:r>
          </w:p>
        </w:tc>
        <w:tc>
          <w:tcPr>
            <w:tcW w:w="2551" w:type="dxa"/>
          </w:tcPr>
          <w:p w14:paraId="388A7831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Потенциальные поставщики</w:t>
            </w:r>
          </w:p>
        </w:tc>
        <w:tc>
          <w:tcPr>
            <w:tcW w:w="1985" w:type="dxa"/>
          </w:tcPr>
          <w:p w14:paraId="49701DD9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цена за единицу</w:t>
            </w:r>
          </w:p>
          <w:p w14:paraId="3331B4F6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(тенге)</w:t>
            </w:r>
          </w:p>
        </w:tc>
        <w:tc>
          <w:tcPr>
            <w:tcW w:w="2126" w:type="dxa"/>
          </w:tcPr>
          <w:p w14:paraId="3669F609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общая сумма </w:t>
            </w:r>
          </w:p>
          <w:p w14:paraId="14F80DF2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(тенге)</w:t>
            </w:r>
          </w:p>
        </w:tc>
      </w:tr>
      <w:tr w14:paraId="545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restart"/>
          </w:tcPr>
          <w:p w14:paraId="0F93D3D8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3532B7BF">
            <w:pPr>
              <w:pStyle w:val="1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АФЛИБЕРЦЕПТ</w:t>
            </w:r>
          </w:p>
        </w:tc>
        <w:tc>
          <w:tcPr>
            <w:tcW w:w="2551" w:type="dxa"/>
          </w:tcPr>
          <w:p w14:paraId="75BFEFA7">
            <w:pPr>
              <w:pStyle w:val="1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ТОО «АК НИЕТ»</w:t>
            </w:r>
          </w:p>
        </w:tc>
        <w:tc>
          <w:tcPr>
            <w:tcW w:w="1985" w:type="dxa"/>
          </w:tcPr>
          <w:p w14:paraId="114D286C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229 000,00</w:t>
            </w:r>
          </w:p>
          <w:p w14:paraId="5F59CEA1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8E529">
            <w:pPr>
              <w:pStyle w:val="11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15 114 000,00</w:t>
            </w:r>
          </w:p>
        </w:tc>
      </w:tr>
      <w:tr w14:paraId="400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</w:tcPr>
          <w:p w14:paraId="31AF96F0">
            <w:pPr>
              <w:pStyle w:val="1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 w14:paraId="383E3F5E">
            <w:pPr>
              <w:pStyle w:val="1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11CC3E">
            <w:pPr>
              <w:pStyle w:val="1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«КФК «МЕДСЕРВИС ПЛЮС»</w:t>
            </w:r>
          </w:p>
        </w:tc>
        <w:tc>
          <w:tcPr>
            <w:tcW w:w="1985" w:type="dxa"/>
          </w:tcPr>
          <w:p w14:paraId="22E404A4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27 750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,00</w:t>
            </w:r>
          </w:p>
          <w:p w14:paraId="10D55139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9C45B">
            <w:pPr>
              <w:pStyle w:val="1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15 031 500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>,00</w:t>
            </w:r>
          </w:p>
        </w:tc>
      </w:tr>
    </w:tbl>
    <w:p w14:paraId="16FE10CE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9BF49BC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Изложение оценки и сопоставления тендерных заявок: </w:t>
      </w:r>
    </w:p>
    <w:p w14:paraId="7CDBCF09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Тендерная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14:paraId="3FE3CD12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Заявки, соответствующие требованиям тендерной документации: </w:t>
      </w:r>
    </w:p>
    <w:p w14:paraId="213F08E7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ТОО «АК НИЕТ» по лоту №1;</w:t>
      </w:r>
    </w:p>
    <w:p w14:paraId="1E94D3E6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ТОО «КФК «МЕДСЕРВИС ПЛЮС» по лоту №1. </w:t>
      </w:r>
    </w:p>
    <w:p w14:paraId="0E61E6BD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Основания отклонения тендерных заявок: отсутствуют. </w:t>
      </w:r>
    </w:p>
    <w:p w14:paraId="0961F789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Экспертная комиссия не привлекалась. </w:t>
      </w:r>
    </w:p>
    <w:p w14:paraId="4E91D806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0DDF8F3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Тендерная комиссия по результатам рассмотрения тендерных заявок РЕШИЛА:</w:t>
      </w:r>
    </w:p>
    <w:p w14:paraId="5D17CF64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Признать закуп способом тендера, состоявшимся по лоту № 1, согласно п. 66, параграфа 4 и признать победителями тендера:</w:t>
      </w:r>
    </w:p>
    <w:p w14:paraId="256376AA">
      <w:pPr>
        <w:pStyle w:val="11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14:paraId="6180B37D">
      <w:pPr>
        <w:pStyle w:val="11"/>
        <w:widowControl w:val="0"/>
        <w:autoSpaceDE w:val="0"/>
        <w:autoSpaceDN w:val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ТОО «КФК «МЕДСЕРВИС ПЛЮС» по лоту №1,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 xml:space="preserve">г. Алматы, ул. Маметовой, 54 </w:t>
      </w:r>
    </w:p>
    <w:p w14:paraId="7ED5A82C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5 календарных дней со дня подписания настоящего протокола итогов тендера направить победителю тендера ТОО «КФК «МЕДСЕРВИС ПЛЮС»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подписанный договор закупа. </w:t>
      </w:r>
    </w:p>
    <w:p w14:paraId="44D779DD">
      <w:pPr>
        <w:pStyle w:val="7"/>
        <w:rPr>
          <w:b w:val="0"/>
          <w:bCs w:val="0"/>
        </w:rPr>
      </w:pPr>
    </w:p>
    <w:p w14:paraId="5A36BA9B">
      <w:pPr>
        <w:pStyle w:val="7"/>
        <w:rPr>
          <w:rFonts w:hint="default"/>
          <w:b w:val="0"/>
          <w:bCs w:val="0"/>
          <w:lang w:val="ru-RU"/>
        </w:rPr>
      </w:pPr>
      <w:r>
        <w:rPr>
          <w:b w:val="0"/>
          <w:bCs w:val="0"/>
        </w:rPr>
        <w:t>Председатель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тендерной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lang w:val="ru-RU"/>
        </w:rPr>
        <w:t>Середина</w:t>
      </w:r>
      <w:r>
        <w:rPr>
          <w:rFonts w:hint="default"/>
          <w:b w:val="0"/>
          <w:bCs w:val="0"/>
          <w:lang w:val="ru-RU"/>
        </w:rPr>
        <w:t xml:space="preserve"> С.С.</w:t>
      </w:r>
    </w:p>
    <w:p w14:paraId="00A1B8F5">
      <w:pPr>
        <w:pStyle w:val="7"/>
        <w:rPr>
          <w:b w:val="0"/>
          <w:bCs w:val="0"/>
        </w:rPr>
      </w:pPr>
    </w:p>
    <w:p w14:paraId="57415104">
      <w:pPr>
        <w:pStyle w:val="7"/>
        <w:rPr>
          <w:b w:val="0"/>
          <w:bCs w:val="0"/>
        </w:rPr>
      </w:pPr>
      <w:r>
        <w:rPr>
          <w:b w:val="0"/>
          <w:bCs w:val="0"/>
        </w:rPr>
        <w:t>Заместитель председателя</w:t>
      </w:r>
    </w:p>
    <w:p w14:paraId="7FCDE144">
      <w:pPr>
        <w:pStyle w:val="7"/>
        <w:rPr>
          <w:b w:val="0"/>
          <w:bCs w:val="0"/>
        </w:rPr>
      </w:pPr>
      <w:r>
        <w:rPr>
          <w:b w:val="0"/>
          <w:bCs w:val="0"/>
        </w:rPr>
        <w:t>тендерной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Кочкина Н.В.  </w:t>
      </w:r>
    </w:p>
    <w:p w14:paraId="1847D8B4">
      <w:pPr>
        <w:pStyle w:val="7"/>
        <w:rPr>
          <w:b w:val="0"/>
          <w:bCs w:val="0"/>
        </w:rPr>
      </w:pPr>
    </w:p>
    <w:p w14:paraId="1751338E">
      <w:pPr>
        <w:tabs>
          <w:tab w:val="left" w:pos="2460"/>
        </w:tabs>
        <w:spacing w:line="221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</w:rPr>
        <w:t>Член тендерной комиссии</w:t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lang w:val="ru-RU"/>
        </w:rPr>
        <w:t>Ботабаева</w:t>
      </w:r>
      <w:r>
        <w:rPr>
          <w:rFonts w:hint="default" w:ascii="Times New Roman" w:hAnsi="Times New Roman" w:cs="Times New Roman"/>
          <w:b w:val="0"/>
          <w:bCs w:val="0"/>
          <w:sz w:val="20"/>
          <w:lang w:val="ru-RU"/>
        </w:rPr>
        <w:t xml:space="preserve"> М.А.</w:t>
      </w:r>
    </w:p>
    <w:p w14:paraId="213390FA">
      <w:pPr>
        <w:tabs>
          <w:tab w:val="left" w:pos="2460"/>
        </w:tabs>
        <w:spacing w:line="221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</w:rPr>
        <w:t>Член тендерной комиссии</w:t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lang w:val="ru-RU"/>
        </w:rPr>
        <w:t>Самигулова</w:t>
      </w:r>
      <w:r>
        <w:rPr>
          <w:rFonts w:hint="default" w:ascii="Times New Roman" w:hAnsi="Times New Roman" w:cs="Times New Roman"/>
          <w:b w:val="0"/>
          <w:bCs w:val="0"/>
          <w:sz w:val="20"/>
          <w:lang w:val="ru-RU"/>
        </w:rPr>
        <w:t xml:space="preserve"> Р.К.</w:t>
      </w:r>
    </w:p>
    <w:p w14:paraId="21EFB0AF">
      <w:pPr>
        <w:tabs>
          <w:tab w:val="left" w:pos="2460"/>
        </w:tabs>
        <w:spacing w:line="221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</w:rPr>
        <w:t>Член тендерной комиссии</w:t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lang w:val="ru-RU"/>
        </w:rPr>
        <w:t>Касимжанова</w:t>
      </w:r>
      <w:r>
        <w:rPr>
          <w:rFonts w:hint="default" w:ascii="Times New Roman" w:hAnsi="Times New Roman" w:cs="Times New Roman"/>
          <w:b w:val="0"/>
          <w:bCs w:val="0"/>
          <w:sz w:val="20"/>
          <w:lang w:val="ru-RU"/>
        </w:rPr>
        <w:t xml:space="preserve"> А.Е.</w:t>
      </w:r>
    </w:p>
    <w:p w14:paraId="00F7CBAF">
      <w:pPr>
        <w:tabs>
          <w:tab w:val="left" w:pos="2460"/>
        </w:tabs>
        <w:spacing w:line="221" w:lineRule="exact"/>
        <w:jc w:val="both"/>
        <w:rPr>
          <w:rFonts w:hint="default" w:ascii="Times New Roman" w:hAnsi="Times New Roman" w:cs="Times New Roman"/>
          <w:b w:val="0"/>
          <w:bCs w:val="0"/>
          <w:sz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</w:rPr>
        <w:t>Секретарь тендерной комиссии</w:t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ascii="Times New Roman" w:hAnsi="Times New Roman" w:cs="Times New Roman"/>
          <w:b w:val="0"/>
          <w:bCs w:val="0"/>
          <w:sz w:val="20"/>
        </w:rPr>
        <w:tab/>
      </w:r>
      <w:r>
        <w:rPr>
          <w:rFonts w:hint="default" w:ascii="Times New Roman" w:hAnsi="Times New Roman" w:cs="Times New Roman"/>
          <w:b w:val="0"/>
          <w:bCs w:val="0"/>
          <w:sz w:val="20"/>
          <w:lang w:val="ru-RU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0"/>
          <w:lang w:val="ru-RU"/>
        </w:rPr>
        <w:t>Самигулова</w:t>
      </w:r>
      <w:r>
        <w:rPr>
          <w:rFonts w:hint="default" w:ascii="Times New Roman" w:hAnsi="Times New Roman" w:cs="Times New Roman"/>
          <w:b w:val="0"/>
          <w:bCs w:val="0"/>
          <w:sz w:val="20"/>
          <w:lang w:val="ru-RU"/>
        </w:rPr>
        <w:t xml:space="preserve"> Д.Г.</w:t>
      </w:r>
    </w:p>
    <w:p w14:paraId="3D4D9E43">
      <w:pPr>
        <w:tabs>
          <w:tab w:val="left" w:pos="246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</w:p>
    <w:p w14:paraId="255C1FA5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A64A68">
      <w:pPr>
        <w:pStyle w:val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B7E282">
      <w:pPr>
        <w:rPr>
          <w:b w:val="0"/>
          <w:bCs w:val="0"/>
        </w:rPr>
      </w:pPr>
    </w:p>
    <w:sectPr>
      <w:headerReference r:id="rId5" w:type="first"/>
      <w:pgSz w:w="11906" w:h="16838"/>
      <w:pgMar w:top="537" w:right="567" w:bottom="624" w:left="426" w:header="543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9087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981"/>
      <w:gridCol w:w="3981"/>
      <w:gridCol w:w="3981"/>
      <w:gridCol w:w="3981"/>
      <w:gridCol w:w="3163"/>
    </w:tblGrid>
    <w:tr w14:paraId="3EBD23E5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09" w:hRule="atLeast"/>
      </w:trPr>
      <w:tc>
        <w:tcPr>
          <w:tcW w:w="3981" w:type="dxa"/>
        </w:tcPr>
        <w:p w14:paraId="17ABAF23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</w:rPr>
            <w:t>«</w:t>
          </w:r>
          <w:r>
            <w:rPr>
              <w:rFonts w:ascii="Times New Roman" w:hAnsi="Times New Roman" w:cs="Times New Roman"/>
              <w:lang w:val="en-US"/>
            </w:rPr>
            <w:t>ASTANA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VISION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SEMEY</w:t>
          </w:r>
          <w:r>
            <w:rPr>
              <w:rFonts w:ascii="Times New Roman" w:hAnsi="Times New Roman" w:cs="Times New Roman"/>
              <w:lang w:val="kk-KZ"/>
            </w:rPr>
            <w:t xml:space="preserve">» </w:t>
          </w:r>
        </w:p>
        <w:p w14:paraId="16C257BF">
          <w:pPr>
            <w:pStyle w:val="1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kk-KZ"/>
            </w:rPr>
            <w:t>ЖАУАПКЕРШІЛІГІ ШЕКТЕУЛІ СЕРІКТЕСТІГІ</w:t>
          </w:r>
        </w:p>
      </w:tc>
      <w:tc>
        <w:tcPr>
          <w:tcW w:w="3981" w:type="dxa"/>
        </w:tcPr>
        <w:p w14:paraId="268CF667">
          <w:pPr>
            <w:pStyle w:val="1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eastAsia="ru-RU"/>
            </w:rPr>
            <w:drawing>
              <wp:inline distT="0" distB="0" distL="0" distR="0">
                <wp:extent cx="2005965" cy="495300"/>
                <wp:effectExtent l="0" t="0" r="0" b="0"/>
                <wp:docPr id="32" name="Рисунок 32" descr="D:\Users\Medstat\Downloads\логотип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Рисунок 32" descr="D:\Users\Medstat\Downloads\логотипы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633" cy="512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14:paraId="10EA61A5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ТОВАРИЩЕСТВО С ОГРАНИЧЕННОЙ ОТВЕТСТВЕННОСТЬЮ</w:t>
          </w:r>
        </w:p>
        <w:p w14:paraId="36EB9567">
          <w:pPr>
            <w:pStyle w:val="1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</w:t>
          </w:r>
          <w:r>
            <w:rPr>
              <w:rFonts w:ascii="Times New Roman" w:hAnsi="Times New Roman" w:cs="Times New Roman"/>
              <w:lang w:val="en-US"/>
            </w:rPr>
            <w:t>ASTANA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VISION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SEMEY</w:t>
          </w:r>
          <w:r>
            <w:rPr>
              <w:rFonts w:ascii="Times New Roman" w:hAnsi="Times New Roman" w:cs="Times New Roman"/>
            </w:rPr>
            <w:t>»</w:t>
          </w:r>
        </w:p>
      </w:tc>
      <w:tc>
        <w:tcPr>
          <w:tcW w:w="3981" w:type="dxa"/>
        </w:tcPr>
        <w:p w14:paraId="3FD409A4">
          <w:pPr>
            <w:pStyle w:val="11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Astana Vision Semey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» ЖШС</w:t>
          </w:r>
        </w:p>
      </w:tc>
      <w:tc>
        <w:tcPr>
          <w:tcW w:w="3163" w:type="dxa"/>
        </w:tcPr>
        <w:p w14:paraId="53F43403">
          <w:pPr>
            <w:pStyle w:val="11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14:paraId="0C0F5EB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" w:hRule="atLeast"/>
      </w:trPr>
      <w:tc>
        <w:tcPr>
          <w:tcW w:w="3981" w:type="dxa"/>
        </w:tcPr>
        <w:p w14:paraId="18A31C77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Қазақстан Республикасы, ШҚО,</w:t>
          </w:r>
        </w:p>
        <w:p w14:paraId="134B32CC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</w:rPr>
            <w:t xml:space="preserve">071400, Семей </w:t>
          </w:r>
          <w:r>
            <w:rPr>
              <w:rFonts w:ascii="Times New Roman" w:hAnsi="Times New Roman" w:cs="Times New Roman"/>
              <w:lang w:val="kk-KZ"/>
            </w:rPr>
            <w:t>қаласы.</w:t>
          </w:r>
        </w:p>
        <w:p w14:paraId="021ADBE6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Шәкәрім даңғылы, 122</w:t>
          </w:r>
        </w:p>
        <w:p w14:paraId="55962F9C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semey_vision@yandex.kz</w:t>
          </w:r>
        </w:p>
      </w:tc>
      <w:tc>
        <w:tcPr>
          <w:tcW w:w="3981" w:type="dxa"/>
        </w:tcPr>
        <w:p w14:paraId="68BA9EF7">
          <w:pPr>
            <w:pStyle w:val="11"/>
            <w:rPr>
              <w:rFonts w:ascii="Times New Roman" w:hAnsi="Times New Roman" w:cs="Times New Roman"/>
              <w:lang w:val="kk-KZ"/>
            </w:rPr>
          </w:pPr>
        </w:p>
      </w:tc>
      <w:tc>
        <w:tcPr>
          <w:tcW w:w="3981" w:type="dxa"/>
        </w:tcPr>
        <w:p w14:paraId="52A5B5D2">
          <w:pPr>
            <w:pStyle w:val="1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Республика Казахстан, ВКО</w:t>
          </w:r>
        </w:p>
        <w:p w14:paraId="033AF2B9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</w:rPr>
            <w:t>07</w:t>
          </w:r>
          <w:r>
            <w:rPr>
              <w:rFonts w:ascii="Times New Roman" w:hAnsi="Times New Roman" w:cs="Times New Roman"/>
              <w:lang w:val="kk-KZ"/>
            </w:rPr>
            <w:t>1400</w:t>
          </w:r>
          <w:r>
            <w:rPr>
              <w:rFonts w:ascii="Times New Roman" w:hAnsi="Times New Roman" w:cs="Times New Roman"/>
            </w:rPr>
            <w:t xml:space="preserve">, г. </w:t>
          </w:r>
          <w:r>
            <w:rPr>
              <w:rFonts w:ascii="Times New Roman" w:hAnsi="Times New Roman" w:cs="Times New Roman"/>
              <w:lang w:val="kk-KZ"/>
            </w:rPr>
            <w:t>Семей</w:t>
          </w:r>
        </w:p>
        <w:p w14:paraId="2F593234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kk-KZ"/>
            </w:rPr>
            <w:t>проспект Шакарима, 122</w:t>
          </w:r>
        </w:p>
        <w:p w14:paraId="260AA10C">
          <w:pPr>
            <w:pStyle w:val="11"/>
            <w:rPr>
              <w:rFonts w:ascii="Times New Roman" w:hAnsi="Times New Roman" w:cs="Times New Roman"/>
              <w:lang w:val="kk-KZ"/>
            </w:rPr>
          </w:pPr>
          <w:r>
            <w:rPr>
              <w:rFonts w:ascii="Times New Roman" w:hAnsi="Times New Roman" w:cs="Times New Roman"/>
              <w:lang w:val="en-US"/>
            </w:rPr>
            <w:t>semey_vision@yandex.kz</w:t>
          </w:r>
        </w:p>
      </w:tc>
      <w:tc>
        <w:tcPr>
          <w:tcW w:w="3981" w:type="dxa"/>
        </w:tcPr>
        <w:p w14:paraId="48696222">
          <w:pPr>
            <w:pStyle w:val="11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</w:tc>
      <w:tc>
        <w:tcPr>
          <w:tcW w:w="3163" w:type="dxa"/>
        </w:tcPr>
        <w:p w14:paraId="28D4B335">
          <w:pPr>
            <w:pStyle w:val="11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</w:p>
      </w:tc>
    </w:tr>
  </w:tbl>
  <w:p w14:paraId="28FC50B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27A6"/>
    <w:rsid w:val="00015571"/>
    <w:rsid w:val="000264C5"/>
    <w:rsid w:val="000702DD"/>
    <w:rsid w:val="000828CE"/>
    <w:rsid w:val="00084A98"/>
    <w:rsid w:val="00087AC8"/>
    <w:rsid w:val="000E139C"/>
    <w:rsid w:val="000F6970"/>
    <w:rsid w:val="0017161E"/>
    <w:rsid w:val="001764CD"/>
    <w:rsid w:val="001F5CBD"/>
    <w:rsid w:val="002B7F5D"/>
    <w:rsid w:val="002C637B"/>
    <w:rsid w:val="002E0582"/>
    <w:rsid w:val="00303355"/>
    <w:rsid w:val="00375C26"/>
    <w:rsid w:val="003D1F88"/>
    <w:rsid w:val="00425B1F"/>
    <w:rsid w:val="00432F76"/>
    <w:rsid w:val="0046572C"/>
    <w:rsid w:val="004E7F20"/>
    <w:rsid w:val="004F423B"/>
    <w:rsid w:val="00503E94"/>
    <w:rsid w:val="0050731F"/>
    <w:rsid w:val="00583846"/>
    <w:rsid w:val="0058711F"/>
    <w:rsid w:val="00587390"/>
    <w:rsid w:val="005A2E71"/>
    <w:rsid w:val="005E1F54"/>
    <w:rsid w:val="00682122"/>
    <w:rsid w:val="006E2965"/>
    <w:rsid w:val="00702EA0"/>
    <w:rsid w:val="007125A5"/>
    <w:rsid w:val="007759FA"/>
    <w:rsid w:val="007946D1"/>
    <w:rsid w:val="007D7046"/>
    <w:rsid w:val="008627E4"/>
    <w:rsid w:val="00865921"/>
    <w:rsid w:val="008B2125"/>
    <w:rsid w:val="008C543F"/>
    <w:rsid w:val="008E0E7C"/>
    <w:rsid w:val="00913FED"/>
    <w:rsid w:val="00961188"/>
    <w:rsid w:val="00986404"/>
    <w:rsid w:val="009D27A6"/>
    <w:rsid w:val="00A01F47"/>
    <w:rsid w:val="00A230D4"/>
    <w:rsid w:val="00AA67D4"/>
    <w:rsid w:val="00B45FBF"/>
    <w:rsid w:val="00B50733"/>
    <w:rsid w:val="00B6793F"/>
    <w:rsid w:val="00BF69ED"/>
    <w:rsid w:val="00C331B2"/>
    <w:rsid w:val="00C403C1"/>
    <w:rsid w:val="00CA6102"/>
    <w:rsid w:val="00CC1EB9"/>
    <w:rsid w:val="00CD2243"/>
    <w:rsid w:val="00D5582D"/>
    <w:rsid w:val="00D64420"/>
    <w:rsid w:val="00DD3362"/>
    <w:rsid w:val="00E74F23"/>
    <w:rsid w:val="00ED40C8"/>
    <w:rsid w:val="00F23716"/>
    <w:rsid w:val="00F6187A"/>
    <w:rsid w:val="00F75B4E"/>
    <w:rsid w:val="00F867CA"/>
    <w:rsid w:val="01694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Без интервала Знак"/>
    <w:basedOn w:val="2"/>
    <w:link w:val="11"/>
    <w:uiPriority w:val="1"/>
  </w:style>
  <w:style w:type="character" w:customStyle="1" w:styleId="13">
    <w:name w:val="Верхний колонтитул Знак"/>
    <w:basedOn w:val="2"/>
    <w:link w:val="6"/>
    <w:uiPriority w:val="99"/>
  </w:style>
  <w:style w:type="character" w:customStyle="1" w:styleId="14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"/>
    <w:basedOn w:val="2"/>
    <w:link w:val="8"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ote"/>
    <w:basedOn w:val="2"/>
    <w:uiPriority w:val="0"/>
  </w:style>
  <w:style w:type="character" w:customStyle="1" w:styleId="18">
    <w:name w:val="s1"/>
    <w:basedOn w:val="2"/>
    <w:qFormat/>
    <w:uiPriority w:val="0"/>
    <w:rPr>
      <w:rFonts w:hint="default" w:ascii="Times New Roman" w:hAnsi="Times New Roman" w:cs="Times New Roman"/>
      <w:b/>
      <w:bCs/>
      <w:color w:val="000000"/>
    </w:rPr>
  </w:style>
  <w:style w:type="paragraph" w:customStyle="1" w:styleId="19">
    <w:name w:val="pj"/>
    <w:basedOn w:val="1"/>
    <w:qFormat/>
    <w:uiPriority w:val="0"/>
    <w:pPr>
      <w:spacing w:after="0" w:line="240" w:lineRule="auto"/>
      <w:ind w:firstLine="400"/>
      <w:jc w:val="both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08AA-5FA4-4BD5-9F12-F34803E88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1895</Words>
  <Characters>10803</Characters>
  <Lines>90</Lines>
  <Paragraphs>25</Paragraphs>
  <TotalTime>8</TotalTime>
  <ScaleCrop>false</ScaleCrop>
  <LinksUpToDate>false</LinksUpToDate>
  <CharactersWithSpaces>12673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2022-10-22T10:57:00Z</dcterms:created>
  <dc:creator>Бухгалтерия</dc:creator>
  <cp:lastModifiedBy>Smkbuh1</cp:lastModifiedBy>
  <cp:lastPrinted>2023-04-04T05:26:00Z</cp:lastPrinted>
  <dcterms:modified xsi:type="dcterms:W3CDTF">2025-02-04T11:00:12Z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2A829B2EFA2B4958988972F55884590D_12</vt:lpwstr>
  </property>
</Properties>
</file>